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Times New Roman" w:cs="Times New Roman" w:hAnsi="Times New Roman" w:eastAsia="Times New Roman"/>
          <w:sz w:val="24"/>
          <w:szCs w:val="24"/>
        </w:rPr>
      </w:pPr>
      <w:r>
        <w:rPr>
          <w:b w:val="1"/>
          <w:bCs w:val="1"/>
        </w:rPr>
        <mc:AlternateContent>
          <mc:Choice Requires="wpg">
            <w:drawing>
              <wp:anchor distT="80010" distB="80010" distL="80010" distR="80010" simplePos="0" relativeHeight="251659264" behindDoc="0" locked="0" layoutInCell="1" allowOverlap="1">
                <wp:simplePos x="0" y="0"/>
                <wp:positionH relativeFrom="column">
                  <wp:posOffset>1555750</wp:posOffset>
                </wp:positionH>
                <wp:positionV relativeFrom="line">
                  <wp:posOffset>152400</wp:posOffset>
                </wp:positionV>
                <wp:extent cx="4496435" cy="983614"/>
                <wp:effectExtent l="0" t="0" r="0" b="0"/>
                <wp:wrapSquare wrapText="bothSides" distL="80010" distR="80010" distT="80010" distB="80010"/>
                <wp:docPr id="1073741830" name="officeArt object"/>
                <wp:cNvGraphicFramePr/>
                <a:graphic xmlns:a="http://schemas.openxmlformats.org/drawingml/2006/main">
                  <a:graphicData uri="http://schemas.microsoft.com/office/word/2010/wordprocessingGroup">
                    <wpg:wgp>
                      <wpg:cNvGrpSpPr/>
                      <wpg:grpSpPr>
                        <a:xfrm>
                          <a:off x="0" y="0"/>
                          <a:ext cx="4496435" cy="983614"/>
                          <a:chOff x="0" y="0"/>
                          <a:chExt cx="4496434" cy="983613"/>
                        </a:xfrm>
                      </wpg:grpSpPr>
                      <wps:wsp>
                        <wps:cNvPr id="1073741828" name="Shape 1073741828"/>
                        <wps:cNvSpPr/>
                        <wps:spPr>
                          <a:xfrm>
                            <a:off x="-1" y="0"/>
                            <a:ext cx="4496436" cy="983614"/>
                          </a:xfrm>
                          <a:prstGeom prst="rect">
                            <a:avLst/>
                          </a:prstGeom>
                          <a:solidFill>
                            <a:srgbClr val="FFFFFF"/>
                          </a:solidFill>
                          <a:ln w="12700" cap="flat">
                            <a:noFill/>
                            <a:miter lim="400000"/>
                          </a:ln>
                          <a:effectLst/>
                        </wps:spPr>
                        <wps:bodyPr/>
                      </wps:wsp>
                      <wps:wsp>
                        <wps:cNvPr id="1073741829" name="Shape 1073741829"/>
                        <wps:cNvSpPr/>
                        <wps:spPr>
                          <a:xfrm>
                            <a:off x="-1" y="0"/>
                            <a:ext cx="4496436" cy="983614"/>
                          </a:xfrm>
                          <a:prstGeom prst="rect">
                            <a:avLst/>
                          </a:prstGeom>
                          <a:noFill/>
                          <a:ln w="12700" cap="flat">
                            <a:noFill/>
                            <a:miter lim="400000"/>
                          </a:ln>
                          <a:effectLst/>
                        </wps:spPr>
                        <wps:txbx>
                          <w:txbxContent>
                            <w:p>
                              <w:pPr>
                                <w:pStyle w:val="Body"/>
                                <w:jc w:val="center"/>
                                <w:rPr>
                                  <w:b w:val="1"/>
                                  <w:bCs w:val="1"/>
                                  <w:sz w:val="28"/>
                                  <w:szCs w:val="28"/>
                                </w:rPr>
                              </w:pPr>
                              <w:r>
                                <w:rPr>
                                  <w:b w:val="1"/>
                                  <w:bCs w:val="1"/>
                                  <w:sz w:val="28"/>
                                  <w:szCs w:val="28"/>
                                  <w:rtl w:val="0"/>
                                  <w:lang w:val="en-US"/>
                                </w:rPr>
                                <w:t>Smithsonian DIY Exhibit Available for American Spaces:</w:t>
                              </w:r>
                            </w:p>
                            <w:p>
                              <w:pPr>
                                <w:pStyle w:val="Body"/>
                                <w:jc w:val="center"/>
                                <w:rPr>
                                  <w:i w:val="1"/>
                                  <w:iCs w:val="1"/>
                                  <w:color w:val="ff0000"/>
                                  <w:sz w:val="32"/>
                                  <w:szCs w:val="32"/>
                                  <w:u w:color="ff0000"/>
                                </w:rPr>
                              </w:pPr>
                              <w:r>
                                <w:rPr>
                                  <w:b w:val="1"/>
                                  <w:bCs w:val="1"/>
                                  <w:i w:val="1"/>
                                  <w:iCs w:val="1"/>
                                  <w:color w:val="ff0000"/>
                                  <w:sz w:val="32"/>
                                  <w:szCs w:val="32"/>
                                  <w:u w:color="ff0000"/>
                                  <w:rtl w:val="0"/>
                                  <w:lang w:val="pt-PT"/>
                                </w:rPr>
                                <w:t xml:space="preserve"> “</w:t>
                              </w:r>
                              <w:r>
                                <w:rPr>
                                  <w:b w:val="1"/>
                                  <w:bCs w:val="1"/>
                                  <w:i w:val="1"/>
                                  <w:iCs w:val="1"/>
                                  <w:color w:val="ff0000"/>
                                  <w:sz w:val="32"/>
                                  <w:szCs w:val="32"/>
                                  <w:u w:color="ff0000"/>
                                  <w:rtl w:val="0"/>
                                  <w:lang w:val="en-US"/>
                                </w:rPr>
                                <w:t>Outbreak: Epidemics in a Connected World</w:t>
                              </w:r>
                              <w:r>
                                <w:rPr>
                                  <w:b w:val="1"/>
                                  <w:bCs w:val="1"/>
                                  <w:i w:val="1"/>
                                  <w:iCs w:val="1"/>
                                  <w:color w:val="ff0000"/>
                                  <w:sz w:val="32"/>
                                  <w:szCs w:val="32"/>
                                  <w:u w:color="ff0000"/>
                                  <w:rtl w:val="0"/>
                                </w:rPr>
                                <w:t>”</w:t>
                              </w:r>
                            </w:p>
                            <w:p>
                              <w:pPr>
                                <w:pStyle w:val="Body"/>
                              </w:pPr>
                              <w:r>
                                <w:rPr>
                                  <w:b w:val="1"/>
                                  <w:bCs w:val="1"/>
                                  <w:u w:val="single"/>
                                </w:rPr>
                              </w:r>
                            </w:p>
                          </w:txbxContent>
                        </wps:txbx>
                        <wps:bodyPr wrap="square" lIns="45719" tIns="45719" rIns="45719" bIns="45719" numCol="1" anchor="t">
                          <a:noAutofit/>
                        </wps:bodyPr>
                      </wps:wsp>
                    </wpg:wgp>
                  </a:graphicData>
                </a:graphic>
              </wp:anchor>
            </w:drawing>
          </mc:Choice>
          <mc:Fallback>
            <w:pict>
              <v:group id="_x0000_s1026" style="visibility:visible;position:absolute;margin-left:122.5pt;margin-top:12.0pt;width:354.0pt;height:77.4pt;z-index:251659264;mso-position-horizontal:absolute;mso-position-horizontal-relative:text;mso-position-vertical:absolute;mso-position-vertical-relative:line;mso-wrap-distance-left:6.3pt;mso-wrap-distance-top:6.3pt;mso-wrap-distance-right:6.3pt;mso-wrap-distance-bottom:6.3pt;" coordorigin="0,0" coordsize="4496434,983614">
                <w10:wrap type="square" side="bothSides" anchorx="text"/>
                <v:rect id="_x0000_s1027" style="position:absolute;left:0;top:0;width:4496434;height:983614;">
                  <v:fill color="#FFFFFF"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0;width:4496434;height:983614;">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sz w:val="28"/>
                            <w:szCs w:val="28"/>
                          </w:rPr>
                        </w:pPr>
                        <w:r>
                          <w:rPr>
                            <w:b w:val="1"/>
                            <w:bCs w:val="1"/>
                            <w:sz w:val="28"/>
                            <w:szCs w:val="28"/>
                            <w:rtl w:val="0"/>
                            <w:lang w:val="en-US"/>
                          </w:rPr>
                          <w:t>Smithsonian DIY Exhibit Available for American Spaces:</w:t>
                        </w:r>
                      </w:p>
                      <w:p>
                        <w:pPr>
                          <w:pStyle w:val="Body"/>
                          <w:jc w:val="center"/>
                          <w:rPr>
                            <w:i w:val="1"/>
                            <w:iCs w:val="1"/>
                            <w:color w:val="ff0000"/>
                            <w:sz w:val="32"/>
                            <w:szCs w:val="32"/>
                            <w:u w:color="ff0000"/>
                          </w:rPr>
                        </w:pPr>
                        <w:r>
                          <w:rPr>
                            <w:b w:val="1"/>
                            <w:bCs w:val="1"/>
                            <w:i w:val="1"/>
                            <w:iCs w:val="1"/>
                            <w:color w:val="ff0000"/>
                            <w:sz w:val="32"/>
                            <w:szCs w:val="32"/>
                            <w:u w:color="ff0000"/>
                            <w:rtl w:val="0"/>
                            <w:lang w:val="pt-PT"/>
                          </w:rPr>
                          <w:t xml:space="preserve"> “</w:t>
                        </w:r>
                        <w:r>
                          <w:rPr>
                            <w:b w:val="1"/>
                            <w:bCs w:val="1"/>
                            <w:i w:val="1"/>
                            <w:iCs w:val="1"/>
                            <w:color w:val="ff0000"/>
                            <w:sz w:val="32"/>
                            <w:szCs w:val="32"/>
                            <w:u w:color="ff0000"/>
                            <w:rtl w:val="0"/>
                            <w:lang w:val="en-US"/>
                          </w:rPr>
                          <w:t>Outbreak: Epidemics in a Connected World</w:t>
                        </w:r>
                        <w:r>
                          <w:rPr>
                            <w:b w:val="1"/>
                            <w:bCs w:val="1"/>
                            <w:i w:val="1"/>
                            <w:iCs w:val="1"/>
                            <w:color w:val="ff0000"/>
                            <w:sz w:val="32"/>
                            <w:szCs w:val="32"/>
                            <w:u w:color="ff0000"/>
                            <w:rtl w:val="0"/>
                          </w:rPr>
                          <w:t>”</w:t>
                        </w:r>
                      </w:p>
                      <w:p>
                        <w:pPr>
                          <w:pStyle w:val="Body"/>
                        </w:pPr>
                        <w:r>
                          <w:rPr>
                            <w:b w:val="1"/>
                            <w:bCs w:val="1"/>
                            <w:u w:val="single"/>
                          </w:rPr>
                        </w:r>
                      </w:p>
                    </w:txbxContent>
                  </v:textbox>
                </v:rect>
              </v:group>
            </w:pict>
          </mc:Fallback>
        </mc:AlternateContent>
      </w:r>
      <w:r>
        <w:rPr>
          <w:rFonts w:ascii="Times New Roman" w:cs="Times New Roman" w:hAnsi="Times New Roman" w:eastAsia="Times New Roman"/>
          <w:sz w:val="24"/>
          <w:szCs w:val="24"/>
        </w:rPr>
        <w:drawing>
          <wp:inline distT="0" distB="0" distL="0" distR="0">
            <wp:extent cx="1228725" cy="122872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4">
                      <a:extLst/>
                    </a:blip>
                    <a:stretch>
                      <a:fillRect/>
                    </a:stretch>
                  </pic:blipFill>
                  <pic:spPr>
                    <a:xfrm>
                      <a:off x="0" y="0"/>
                      <a:ext cx="1228725" cy="1228725"/>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sz w:val="24"/>
          <w:szCs w:val="24"/>
        </w:rPr>
      </w:pPr>
      <w:r>
        <w:rPr>
          <w:rFonts w:ascii="Times New Roman" w:hAnsi="Times New Roman"/>
          <w:sz w:val="24"/>
          <w:szCs w:val="24"/>
          <w:rtl w:val="0"/>
        </w:rPr>
        <w:t>ECA</w:t>
      </w:r>
      <w:r>
        <w:rPr>
          <w:rFonts w:ascii="Times New Roman" w:hAnsi="Times New Roman" w:hint="default"/>
          <w:sz w:val="24"/>
          <w:szCs w:val="24"/>
          <w:rtl w:val="0"/>
          <w:lang w:val="en-US"/>
        </w:rPr>
        <w:t>’</w:t>
      </w:r>
      <w:r>
        <w:rPr>
          <w:rFonts w:ascii="Times New Roman" w:hAnsi="Times New Roman"/>
          <w:sz w:val="24"/>
          <w:szCs w:val="24"/>
          <w:rtl w:val="0"/>
          <w:lang w:val="en-US"/>
        </w:rPr>
        <w:t>s Office of American Spaces</w:t>
      </w:r>
      <w:r>
        <w:rPr>
          <w:rFonts w:ascii="Times New Roman" w:hAnsi="Times New Roman"/>
          <w:b w:val="1"/>
          <w:bCs w:val="1"/>
          <w:sz w:val="24"/>
          <w:szCs w:val="24"/>
          <w:rtl w:val="0"/>
        </w:rPr>
        <w:t xml:space="preserve"> </w:t>
      </w:r>
      <w:r>
        <w:rPr>
          <w:rFonts w:ascii="Times New Roman" w:hAnsi="Times New Roman"/>
          <w:sz w:val="24"/>
          <w:szCs w:val="24"/>
          <w:rtl w:val="0"/>
          <w:lang w:val="en-US"/>
        </w:rPr>
        <w:t xml:space="preserve">would like to highlight the </w:t>
      </w:r>
      <w:r>
        <w:rPr>
          <w:rFonts w:ascii="Times New Roman" w:hAnsi="Times New Roman"/>
          <w:b w:val="1"/>
          <w:bCs w:val="1"/>
          <w:sz w:val="24"/>
          <w:szCs w:val="24"/>
          <w:rtl w:val="0"/>
          <w:lang w:val="en-US"/>
        </w:rPr>
        <w:t>Smithsonian DIY 16-panel exhibit (graphics and content available for no cost to download with required signed user agreement)</w:t>
      </w:r>
      <w:r>
        <w:rPr>
          <w:rFonts w:ascii="Times New Roman" w:hAnsi="Times New Roman"/>
          <w:sz w:val="24"/>
          <w:szCs w:val="24"/>
          <w:rtl w:val="0"/>
          <w:lang w:val="en-US"/>
        </w:rPr>
        <w:t xml:space="preserve"> promoting global health security that may be used in American Spaces worldwide.</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b w:val="1"/>
          <w:bCs w:val="1"/>
          <w:sz w:val="24"/>
          <w:szCs w:val="24"/>
          <w:rtl w:val="0"/>
          <w:lang w:val="en-US"/>
        </w:rPr>
        <w:t>Building global health security capacity remains a priority</w:t>
      </w:r>
      <w:r>
        <w:rPr>
          <w:rFonts w:ascii="Times New Roman" w:hAnsi="Times New Roman"/>
          <w:sz w:val="24"/>
          <w:szCs w:val="24"/>
          <w:rtl w:val="0"/>
          <w:lang w:val="en-US"/>
        </w:rPr>
        <w:t xml:space="preserve"> of the U.S. National Security Strategy and U.S. National Biodefense Strategy.  The United States is committed to collaborating with countries to invest in basic health care systems and address infectious diseases such as HIV/AIDS, malaria, Ebola, Zika, and influenza.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The Smithsonian Institution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National Museum of Natural History (NMNH) is offering a </w:t>
      </w:r>
      <w:r>
        <w:rPr>
          <w:rFonts w:ascii="Times New Roman" w:hAnsi="Times New Roman"/>
          <w:sz w:val="24"/>
          <w:szCs w:val="24"/>
          <w:u w:val="single"/>
          <w:rtl w:val="0"/>
          <w:lang w:val="en-US"/>
        </w:rPr>
        <w:t>free Do-It-Yourself print-on-demand exhibit</w:t>
      </w:r>
      <w:r>
        <w:rPr>
          <w:rFonts w:ascii="Times New Roman" w:hAnsi="Times New Roman"/>
          <w:sz w:val="24"/>
          <w:szCs w:val="24"/>
          <w:rtl w:val="0"/>
          <w:lang w:val="en-US"/>
        </w:rPr>
        <w:t xml:space="preserve"> called </w:t>
      </w:r>
      <w:r>
        <w:rPr>
          <w:rFonts w:ascii="Times New Roman" w:hAnsi="Times New Roman"/>
          <w:b w:val="1"/>
          <w:bCs w:val="1"/>
          <w:i w:val="1"/>
          <w:iCs w:val="1"/>
          <w:sz w:val="24"/>
          <w:szCs w:val="24"/>
          <w:rtl w:val="0"/>
          <w:lang w:val="en-US"/>
        </w:rPr>
        <w:t>Outbreak: Epidemics in a Connected World</w:t>
      </w:r>
      <w:r>
        <w:rPr>
          <w:rFonts w:ascii="Times New Roman" w:hAnsi="Times New Roman" w:hint="default"/>
          <w:sz w:val="24"/>
          <w:szCs w:val="24"/>
          <w:rtl w:val="0"/>
          <w:lang w:val="en-US"/>
        </w:rPr>
        <w:t xml:space="preserve"> – </w:t>
      </w:r>
      <w:r>
        <w:rPr>
          <w:rFonts w:ascii="Times New Roman" w:hAnsi="Times New Roman"/>
          <w:sz w:val="24"/>
          <w:szCs w:val="24"/>
          <w:rtl w:val="0"/>
          <w:lang w:val="en-US"/>
        </w:rPr>
        <w:t xml:space="preserve">an extension of the current temporary exhibit in NMNH running until 2021 </w:t>
      </w:r>
      <w:r>
        <w:rPr>
          <w:rFonts w:ascii="Times New Roman" w:hAnsi="Times New Roman" w:hint="default"/>
          <w:sz w:val="24"/>
          <w:szCs w:val="24"/>
          <w:rtl w:val="0"/>
          <w:lang w:val="en-US"/>
        </w:rPr>
        <w:t xml:space="preserve">– </w:t>
      </w:r>
      <w:r>
        <w:rPr>
          <w:rFonts w:ascii="Times New Roman" w:hAnsi="Times New Roman"/>
          <w:sz w:val="24"/>
          <w:szCs w:val="24"/>
          <w:rtl w:val="0"/>
          <w:lang w:val="en-US"/>
        </w:rPr>
        <w:t>that would be excellent for U.S. Mission and American Spaces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programs promoting global health security. There are 16 pre-designed panels with two customizable templates, along with A/V and a resource guide, that share important information about diseases and how a range of public health professionals prevent, detect, and respond to infectious diseases, such as HIV/AIDS, Ebola virus, influenza, Zika virus, and others.</w:t>
      </w:r>
    </w:p>
    <w:p>
      <w:pPr>
        <w:pStyle w:val="Body"/>
        <w:jc w:val="center"/>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fr-FR"/>
        </w:rPr>
        <w:t>Sample Panels</w:t>
      </w:r>
    </w:p>
    <w:p>
      <w:pPr>
        <w:pStyle w:val="Body"/>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inline distT="0" distB="0" distL="0" distR="0">
            <wp:extent cx="2076450" cy="271558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5">
                      <a:extLst/>
                    </a:blip>
                    <a:stretch>
                      <a:fillRect/>
                    </a:stretch>
                  </pic:blipFill>
                  <pic:spPr>
                    <a:xfrm flipV="1" rot="10800000">
                      <a:off x="0" y="0"/>
                      <a:ext cx="2076450" cy="2715589"/>
                    </a:xfrm>
                    <a:prstGeom prst="rect">
                      <a:avLst/>
                    </a:prstGeom>
                    <a:ln w="12700" cap="flat">
                      <a:noFill/>
                      <a:miter lim="400000"/>
                    </a:ln>
                    <a:effectLst/>
                  </pic:spPr>
                </pic:pic>
              </a:graphicData>
            </a:graphic>
          </wp:inline>
        </w:drawing>
      </w:r>
      <w:r>
        <w:rPr>
          <w:rFonts w:ascii="Times New Roman" w:hAnsi="Times New Roman"/>
          <w:sz w:val="24"/>
          <w:szCs w:val="24"/>
          <w:rtl w:val="0"/>
          <w:lang w:val="de-DE"/>
        </w:rPr>
        <w:t xml:space="preserve">                </w:t>
      </w:r>
      <w:r>
        <w:rPr>
          <w:rFonts w:ascii="Times New Roman" w:cs="Times New Roman" w:hAnsi="Times New Roman" w:eastAsia="Times New Roman"/>
          <w:sz w:val="24"/>
          <w:szCs w:val="24"/>
        </w:rPr>
        <w:drawing>
          <wp:inline distT="0" distB="0" distL="0" distR="0">
            <wp:extent cx="2076450" cy="271775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3.png"/>
                    <pic:cNvPicPr>
                      <a:picLocks noChangeAspect="1"/>
                    </pic:cNvPicPr>
                  </pic:nvPicPr>
                  <pic:blipFill>
                    <a:blip r:embed="rId6">
                      <a:extLst/>
                    </a:blip>
                    <a:stretch>
                      <a:fillRect/>
                    </a:stretch>
                  </pic:blipFill>
                  <pic:spPr>
                    <a:xfrm>
                      <a:off x="0" y="0"/>
                      <a:ext cx="2076450" cy="2717757"/>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sz w:val="24"/>
          <w:szCs w:val="24"/>
        </w:rPr>
      </w:pPr>
    </w:p>
    <w:p>
      <w:pPr>
        <w:pStyle w:val="Body"/>
        <w:sectPr>
          <w:headerReference w:type="default" r:id="rId7"/>
          <w:footerReference w:type="default" r:id="rId8"/>
          <w:pgSz w:w="12240" w:h="15840" w:orient="portrait"/>
          <w:pgMar w:top="720" w:right="720" w:bottom="720" w:left="720" w:header="720" w:footer="720"/>
          <w:bidi w:val="0"/>
        </w:sect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Some posts and American Spaces may already be aware of this resource, since the </w:t>
      </w:r>
      <w:r>
        <w:rPr>
          <w:rFonts w:ascii="Times New Roman" w:hAnsi="Times New Roman"/>
          <w:b w:val="1"/>
          <w:bCs w:val="1"/>
          <w:i w:val="1"/>
          <w:iCs w:val="1"/>
          <w:sz w:val="24"/>
          <w:szCs w:val="24"/>
          <w:rtl w:val="0"/>
          <w:lang w:val="en-US"/>
        </w:rPr>
        <w:t>Outbreak</w:t>
      </w:r>
      <w:r>
        <w:rPr>
          <w:rFonts w:ascii="Times New Roman" w:hAnsi="Times New Roman"/>
          <w:sz w:val="24"/>
          <w:szCs w:val="24"/>
          <w:rtl w:val="0"/>
          <w:lang w:val="en-US"/>
        </w:rPr>
        <w:t xml:space="preserve"> DIY exhibit was communicated through different channels. The Office of American Spaces is coordinating with other Department bureaus, including the Bureau of Oceans and International and Scientific Affairs (OES), the Office of Global Health Diplomacy (GHD) and Bureau of Educational and Cultural Affairs (ECA), </w:t>
      </w:r>
      <w:r>
        <w:rPr>
          <w:rFonts w:ascii="Times New Roman" w:hAnsi="Times New Roman"/>
          <w:b w:val="1"/>
          <w:bCs w:val="1"/>
          <w:sz w:val="24"/>
          <w:szCs w:val="24"/>
          <w:rtl w:val="0"/>
          <w:lang w:val="en-US"/>
        </w:rPr>
        <w:t>and we recommend that PAOs collaborate with ESTH officers</w:t>
      </w:r>
      <w:r>
        <w:rPr>
          <w:rFonts w:ascii="Times New Roman" w:hAnsi="Times New Roman"/>
          <w:sz w:val="24"/>
          <w:szCs w:val="24"/>
          <w:rtl w:val="0"/>
          <w:lang w:val="en-US"/>
        </w:rPr>
        <w:t xml:space="preserve"> to coordinate overall strategic programming around this exhibit. Posts can sign the Memorandum of Agreement with the Smithsonian on behalf of their American Spaces that have the capability and interest. </w:t>
      </w:r>
      <w:r>
        <w:rPr>
          <w:rFonts w:ascii="Times New Roman" w:hAnsi="Times New Roman"/>
          <w:i w:val="1"/>
          <w:iCs w:val="1"/>
          <w:sz w:val="24"/>
          <w:szCs w:val="24"/>
          <w:rtl w:val="0"/>
          <w:lang w:val="en-US"/>
        </w:rPr>
        <w:t>[Note: Individual American Spaces may also sign their own Memoranda of Agreement. In this case, we recommend that the American Space coordinate with and cc: the Embassy/Consulate POC.]</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Posts/American Spaces may consider tying the </w:t>
      </w:r>
      <w:r>
        <w:rPr>
          <w:rFonts w:ascii="Times New Roman" w:hAnsi="Times New Roman"/>
          <w:b w:val="1"/>
          <w:bCs w:val="1"/>
          <w:i w:val="1"/>
          <w:iCs w:val="1"/>
          <w:sz w:val="24"/>
          <w:szCs w:val="24"/>
          <w:rtl w:val="0"/>
          <w:lang w:val="en-US"/>
        </w:rPr>
        <w:t>Outbreak</w:t>
      </w:r>
      <w:r>
        <w:rPr>
          <w:rFonts w:ascii="Times New Roman" w:hAnsi="Times New Roman"/>
          <w:sz w:val="24"/>
          <w:szCs w:val="24"/>
          <w:rtl w:val="0"/>
          <w:lang w:val="en-US"/>
        </w:rPr>
        <w:t xml:space="preserve"> exhibit for global health security programs, such as around </w:t>
      </w:r>
      <w:r>
        <w:rPr>
          <w:rFonts w:ascii="Times New Roman" w:hAnsi="Times New Roman"/>
          <w:b w:val="1"/>
          <w:bCs w:val="1"/>
          <w:sz w:val="24"/>
          <w:szCs w:val="24"/>
          <w:rtl w:val="0"/>
          <w:lang w:val="en-US"/>
        </w:rPr>
        <w:t xml:space="preserve">World Health Day </w:t>
      </w:r>
      <w:r>
        <w:rPr>
          <w:rFonts w:ascii="Times New Roman" w:hAnsi="Times New Roman"/>
          <w:sz w:val="24"/>
          <w:szCs w:val="24"/>
          <w:rtl w:val="0"/>
          <w:lang w:val="en-US"/>
        </w:rPr>
        <w:t xml:space="preserve">on April 7. A full list of dates to consider </w:t>
      </w:r>
      <w:r>
        <w:rPr>
          <w:rFonts w:ascii="Times New Roman" w:hAnsi="Times New Roman"/>
          <w:sz w:val="24"/>
          <w:szCs w:val="24"/>
          <w:rtl w:val="0"/>
          <w:lang w:val="en-US"/>
        </w:rPr>
        <w:t xml:space="preserve">can be found at </w:t>
      </w:r>
      <w:r>
        <w:rPr>
          <w:rFonts w:ascii="Times New Roman" w:hAnsi="Times New Roman"/>
          <w:sz w:val="24"/>
          <w:szCs w:val="24"/>
          <w:rtl w:val="0"/>
          <w:lang w:val="de-DE"/>
        </w:rPr>
        <w:t>http://bit.ly/CDCHlthDys</w:t>
      </w:r>
      <w:r>
        <w:rPr>
          <w:rFonts w:ascii="Times New Roman" w:hAnsi="Times New Roman"/>
          <w:sz w:val="24"/>
          <w:szCs w:val="24"/>
          <w:rtl w:val="0"/>
          <w:lang w:val="en-US"/>
        </w:rPr>
        <w:t>.</w:t>
      </w:r>
    </w:p>
    <w:p>
      <w:pPr>
        <w:pStyle w:val="Body"/>
        <w:spacing w:after="0" w:line="240" w:lineRule="auto"/>
      </w:pPr>
    </w:p>
    <w:p>
      <w:pPr>
        <w:pStyle w:val="Body"/>
        <w:spacing w:after="0" w:line="240" w:lineRule="auto"/>
      </w:pPr>
    </w:p>
    <w:p>
      <w:pPr>
        <w:pStyle w:val="Body"/>
        <w:spacing w:after="0" w:line="240" w:lineRule="auto"/>
      </w:pPr>
    </w:p>
    <w:p>
      <w:pPr>
        <w:pStyle w:val="Body"/>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Here are specific details:</w:t>
      </w:r>
    </w:p>
    <w:p>
      <w:pPr>
        <w:pStyle w:val="List Paragraph"/>
        <w:numPr>
          <w:ilvl w:val="0"/>
          <w:numId w:val="2"/>
        </w:numPr>
        <w:rPr>
          <w:lang w:val="en-US"/>
        </w:rPr>
      </w:pPr>
      <w:r>
        <w:rPr>
          <w:b w:val="1"/>
          <w:bCs w:val="1"/>
          <w:rtl w:val="0"/>
          <w:lang w:val="en-US"/>
        </w:rPr>
        <w:t>Signing Up and Receiving Files:</w:t>
      </w:r>
      <w:r>
        <w:rPr>
          <w:rtl w:val="0"/>
          <w:lang w:val="en-US"/>
        </w:rPr>
        <w:t xml:space="preserve">  </w:t>
      </w:r>
      <w:r>
        <w:rPr>
          <w:rtl w:val="0"/>
          <w:lang w:val="en-US"/>
        </w:rPr>
        <w:t xml:space="preserve">For posts/American Spaces interested in exhibiting the panels, the POC must complete the </w:t>
      </w:r>
      <w:r>
        <w:rPr>
          <w:i w:val="1"/>
          <w:iCs w:val="1"/>
          <w:rtl w:val="0"/>
          <w:lang w:val="en-US"/>
        </w:rPr>
        <w:t>DIY User Application</w:t>
      </w:r>
      <w:r>
        <w:rPr>
          <w:rtl w:val="0"/>
          <w:lang w:val="en-US"/>
        </w:rPr>
        <w:t xml:space="preserve"> and sign the </w:t>
      </w:r>
      <w:r>
        <w:rPr>
          <w:i w:val="1"/>
          <w:iCs w:val="1"/>
          <w:rtl w:val="0"/>
          <w:lang w:val="en-US"/>
        </w:rPr>
        <w:t>Memorandum of Agreement</w:t>
      </w:r>
      <w:r>
        <w:rPr>
          <w:rtl w:val="0"/>
          <w:lang w:val="en-US"/>
        </w:rPr>
        <w:t xml:space="preserve"> (links for both documents below) and send both back to the Smithsonian at </w:t>
      </w:r>
      <w:r>
        <w:rPr>
          <w:rStyle w:val="Hyperlink.0"/>
        </w:rPr>
        <w:fldChar w:fldCharType="begin" w:fldLock="0"/>
      </w:r>
      <w:r>
        <w:rPr>
          <w:rStyle w:val="Hyperlink.0"/>
        </w:rPr>
        <w:instrText xml:space="preserve"> HYPERLINK "mailto:NMNH-ExhibitsDIY@si.edu"</w:instrText>
      </w:r>
      <w:r>
        <w:rPr>
          <w:rStyle w:val="Hyperlink.0"/>
        </w:rPr>
        <w:fldChar w:fldCharType="separate" w:fldLock="0"/>
      </w:r>
      <w:r>
        <w:rPr>
          <w:rStyle w:val="Hyperlink.0"/>
          <w:rtl w:val="0"/>
          <w:lang w:val="en-US"/>
        </w:rPr>
        <w:t>NMNH-ExhibitsDIY@si.edu</w:t>
      </w:r>
      <w:r>
        <w:rPr/>
        <w:fldChar w:fldCharType="end" w:fldLock="0"/>
      </w:r>
      <w:r>
        <w:rPr>
          <w:rtl w:val="0"/>
          <w:lang w:val="en-US"/>
        </w:rPr>
        <w:t>. After completing these items, you will also receive educational materials, including online games, blueprints for printing a virus on a 3D printer, etc., which you can use for programming.</w:t>
      </w:r>
    </w:p>
    <w:p>
      <w:pPr>
        <w:pStyle w:val="List Paragraph"/>
        <w:rPr>
          <w:sz w:val="8"/>
          <w:szCs w:val="8"/>
        </w:rPr>
      </w:pPr>
    </w:p>
    <w:p>
      <w:pPr>
        <w:pStyle w:val="List Paragraph"/>
        <w:numPr>
          <w:ilvl w:val="0"/>
          <w:numId w:val="3"/>
        </w:numPr>
        <w:bidi w:val="0"/>
        <w:ind w:right="0"/>
        <w:jc w:val="left"/>
        <w:rPr>
          <w:sz w:val="22"/>
          <w:szCs w:val="22"/>
          <w:rtl w:val="0"/>
          <w:lang w:val="en-US"/>
        </w:rPr>
      </w:pPr>
      <w:r>
        <w:rPr>
          <w:b w:val="1"/>
          <w:bCs w:val="1"/>
          <w:sz w:val="24"/>
          <w:szCs w:val="24"/>
          <w:rtl w:val="0"/>
          <w:lang w:val="en-US"/>
        </w:rPr>
        <w:t>Exhibition:</w:t>
      </w:r>
      <w:r>
        <w:rPr>
          <w:sz w:val="24"/>
          <w:szCs w:val="24"/>
          <w:rtl w:val="0"/>
          <w:lang w:val="en-US"/>
        </w:rPr>
        <w:t xml:space="preserve">  </w:t>
      </w:r>
      <w:r>
        <w:rPr>
          <w:sz w:val="24"/>
          <w:szCs w:val="24"/>
          <w:rtl w:val="0"/>
          <w:lang w:val="en-US"/>
        </w:rPr>
        <w:t>You do NOT need to display all 16 panels for your exhibition. The only required display is the title panel.</w:t>
      </w:r>
      <w:r>
        <w:rPr>
          <w:sz w:val="24"/>
          <w:szCs w:val="24"/>
          <w:rtl w:val="0"/>
          <w:lang w:val="en-US"/>
        </w:rPr>
        <w:t xml:space="preserve">  </w:t>
      </w:r>
      <w:r>
        <w:rPr>
          <w:sz w:val="24"/>
          <w:szCs w:val="24"/>
          <w:rtl w:val="0"/>
          <w:lang w:val="en-US"/>
        </w:rPr>
        <w:t>There is no mandated length of time for your exhibition.</w:t>
      </w:r>
      <w:r>
        <w:rPr>
          <w:sz w:val="24"/>
          <w:szCs w:val="24"/>
          <w:rtl w:val="0"/>
          <w:lang w:val="en-US"/>
        </w:rPr>
        <w:t xml:space="preserve">  </w:t>
      </w:r>
      <w:r>
        <w:rPr>
          <w:sz w:val="24"/>
          <w:szCs w:val="24"/>
          <w:rtl w:val="0"/>
          <w:lang w:val="en-US"/>
        </w:rPr>
        <w:t>You decide what works best for you.</w:t>
      </w:r>
      <w:r>
        <w:rPr>
          <w:sz w:val="24"/>
          <w:szCs w:val="24"/>
          <w:rtl w:val="0"/>
          <w:lang w:val="en-US"/>
        </w:rPr>
        <w:t xml:space="preserve">  </w:t>
      </w:r>
      <w:r>
        <w:rPr>
          <w:sz w:val="24"/>
          <w:szCs w:val="24"/>
          <w:rtl w:val="0"/>
          <w:lang w:val="en-US"/>
        </w:rPr>
        <w:t xml:space="preserve">The actual physical </w:t>
      </w:r>
      <w:r>
        <w:rPr>
          <w:b w:val="1"/>
          <w:bCs w:val="1"/>
          <w:i w:val="1"/>
          <w:iCs w:val="1"/>
          <w:sz w:val="24"/>
          <w:szCs w:val="24"/>
          <w:rtl w:val="0"/>
          <w:lang w:val="en-US"/>
        </w:rPr>
        <w:t>Outbreak</w:t>
      </w:r>
      <w:r>
        <w:rPr>
          <w:sz w:val="24"/>
          <w:szCs w:val="24"/>
          <w:rtl w:val="0"/>
          <w:lang w:val="en-US"/>
        </w:rPr>
        <w:t xml:space="preserve"> exhibition at the Smithsonian NMNH remains open until 2021, and you can use the DIY exhibit within the same time frame.</w:t>
      </w:r>
      <w:r>
        <w:rPr>
          <w:color w:val="1f497d"/>
          <w:sz w:val="24"/>
          <w:szCs w:val="24"/>
          <w:u w:color="1f497d"/>
          <w:rtl w:val="0"/>
          <w:lang w:val="en-US"/>
        </w:rPr>
        <w:t xml:space="preserve"> </w:t>
      </w:r>
      <w:r>
        <w:rPr>
          <w:sz w:val="24"/>
          <w:szCs w:val="24"/>
          <w:rtl w:val="0"/>
          <w:lang w:val="en-US"/>
        </w:rPr>
        <w:t>You can also consider a digital exhibition in case there are budget constraints; the formatting of the panels also allows for a digital-only display.</w:t>
      </w:r>
    </w:p>
    <w:p>
      <w:pPr>
        <w:pStyle w:val="List Paragraph"/>
        <w:rPr>
          <w:sz w:val="8"/>
          <w:szCs w:val="8"/>
        </w:rPr>
      </w:pPr>
    </w:p>
    <w:p>
      <w:pPr>
        <w:pStyle w:val="List Paragraph"/>
        <w:numPr>
          <w:ilvl w:val="0"/>
          <w:numId w:val="3"/>
        </w:numPr>
        <w:bidi w:val="0"/>
        <w:ind w:right="0"/>
        <w:jc w:val="left"/>
        <w:rPr>
          <w:sz w:val="22"/>
          <w:szCs w:val="22"/>
          <w:rtl w:val="0"/>
          <w:lang w:val="en-US"/>
        </w:rPr>
      </w:pPr>
      <w:r>
        <w:rPr>
          <w:b w:val="1"/>
          <w:bCs w:val="1"/>
          <w:sz w:val="24"/>
          <w:szCs w:val="24"/>
          <w:rtl w:val="0"/>
          <w:lang w:val="en-US"/>
        </w:rPr>
        <w:t>Customization:</w:t>
      </w:r>
      <w:r>
        <w:rPr>
          <w:sz w:val="24"/>
          <w:szCs w:val="24"/>
          <w:rtl w:val="0"/>
          <w:lang w:val="en-US"/>
        </w:rPr>
        <w:t xml:space="preserve">  </w:t>
      </w:r>
      <w:r>
        <w:rPr>
          <w:sz w:val="24"/>
          <w:szCs w:val="24"/>
          <w:rtl w:val="0"/>
          <w:lang w:val="en-US"/>
        </w:rPr>
        <w:t>In addition to the 16 panels, local customization is possible with two, blank templates that you can use to tell stories and information that are important in your communities. Additionally, posts might use artifacts, objects, and locally made artwork (i.e., from a contest), a film, or other educational materials/games to feature community heroes, success stories, and/or contextualize the exhibit to the local experience.</w:t>
      </w:r>
    </w:p>
    <w:p>
      <w:pPr>
        <w:pStyle w:val="List Paragraph"/>
        <w:rPr>
          <w:sz w:val="8"/>
          <w:szCs w:val="8"/>
        </w:rPr>
      </w:pPr>
    </w:p>
    <w:p>
      <w:pPr>
        <w:pStyle w:val="List Paragraph"/>
        <w:numPr>
          <w:ilvl w:val="0"/>
          <w:numId w:val="3"/>
        </w:numPr>
        <w:bidi w:val="0"/>
        <w:ind w:right="0"/>
        <w:jc w:val="left"/>
        <w:rPr>
          <w:sz w:val="22"/>
          <w:szCs w:val="22"/>
          <w:rtl w:val="0"/>
          <w:lang w:val="en-US"/>
        </w:rPr>
      </w:pPr>
      <w:r>
        <w:rPr>
          <w:b w:val="1"/>
          <w:bCs w:val="1"/>
          <w:sz w:val="24"/>
          <w:szCs w:val="24"/>
          <w:rtl w:val="0"/>
          <w:lang w:val="en-US"/>
        </w:rPr>
        <w:t>Languages:</w:t>
      </w:r>
      <w:r>
        <w:rPr>
          <w:sz w:val="24"/>
          <w:szCs w:val="24"/>
          <w:rtl w:val="0"/>
          <w:lang w:val="en-US"/>
        </w:rPr>
        <w:t xml:space="preserve">  </w:t>
      </w:r>
      <w:r>
        <w:rPr>
          <w:sz w:val="24"/>
          <w:szCs w:val="24"/>
          <w:rtl w:val="0"/>
          <w:lang w:val="en-US"/>
        </w:rPr>
        <w:t>This exhibit is available in English, Spanish, French, Arabic, and Chinese (both simplified and traditional).</w:t>
      </w:r>
      <w:r>
        <w:rPr>
          <w:sz w:val="24"/>
          <w:szCs w:val="24"/>
          <w:rtl w:val="0"/>
          <w:lang w:val="en-US"/>
        </w:rPr>
        <w:t xml:space="preserve">  </w:t>
      </w:r>
      <w:r>
        <w:rPr>
          <w:sz w:val="24"/>
          <w:szCs w:val="24"/>
          <w:rtl w:val="0"/>
          <w:lang w:val="en-US"/>
        </w:rPr>
        <w:t>If you do any local translation, please send your translated panels back to the Smithsonian to help expand their language offerings. Some other languages may already be available (translations done by other hosting institutions), and you can ask the Smithsonian directly.</w:t>
      </w:r>
    </w:p>
    <w:p>
      <w:pPr>
        <w:pStyle w:val="List Paragraph"/>
        <w:rPr>
          <w:sz w:val="8"/>
          <w:szCs w:val="8"/>
        </w:rPr>
      </w:pPr>
    </w:p>
    <w:p>
      <w:pPr>
        <w:pStyle w:val="List Paragraph"/>
        <w:numPr>
          <w:ilvl w:val="0"/>
          <w:numId w:val="3"/>
        </w:numPr>
        <w:bidi w:val="0"/>
        <w:ind w:right="0"/>
        <w:jc w:val="left"/>
        <w:rPr>
          <w:sz w:val="22"/>
          <w:szCs w:val="22"/>
          <w:rtl w:val="0"/>
          <w:lang w:val="en-US"/>
        </w:rPr>
      </w:pPr>
      <w:r>
        <w:rPr>
          <w:b w:val="1"/>
          <w:bCs w:val="1"/>
          <w:sz w:val="24"/>
          <w:szCs w:val="24"/>
          <w:rtl w:val="0"/>
          <w:lang w:val="en-US"/>
        </w:rPr>
        <w:t>File Format:</w:t>
      </w:r>
      <w:r>
        <w:rPr>
          <w:sz w:val="24"/>
          <w:szCs w:val="24"/>
          <w:rtl w:val="0"/>
          <w:lang w:val="en-US"/>
        </w:rPr>
        <w:t xml:space="preserve">  </w:t>
      </w:r>
      <w:r>
        <w:rPr>
          <w:sz w:val="24"/>
          <w:szCs w:val="24"/>
          <w:rtl w:val="0"/>
          <w:lang w:val="en-US"/>
        </w:rPr>
        <w:t>Pre-designed and translated panels are in PDF format.</w:t>
      </w:r>
      <w:r>
        <w:rPr>
          <w:sz w:val="24"/>
          <w:szCs w:val="24"/>
          <w:rtl w:val="0"/>
          <w:lang w:val="en-US"/>
        </w:rPr>
        <w:t xml:space="preserve">  </w:t>
      </w:r>
      <w:r>
        <w:rPr>
          <w:sz w:val="24"/>
          <w:szCs w:val="24"/>
          <w:rtl w:val="0"/>
          <w:lang w:val="en-US"/>
        </w:rPr>
        <w:t>Posts/American Spaces should work with their local printers directly for poster production.</w:t>
      </w:r>
      <w:r>
        <w:rPr>
          <w:color w:val="1f497d"/>
          <w:sz w:val="24"/>
          <w:szCs w:val="24"/>
          <w:u w:color="1f497d"/>
          <w:rtl w:val="0"/>
          <w:lang w:val="en-US"/>
        </w:rPr>
        <w:t xml:space="preserve">  </w:t>
      </w:r>
    </w:p>
    <w:p>
      <w:pPr>
        <w:pStyle w:val="List Paragraph"/>
        <w:rPr>
          <w:sz w:val="8"/>
          <w:szCs w:val="8"/>
        </w:rPr>
      </w:pPr>
    </w:p>
    <w:p>
      <w:pPr>
        <w:pStyle w:val="List Paragraph"/>
        <w:numPr>
          <w:ilvl w:val="0"/>
          <w:numId w:val="3"/>
        </w:numPr>
        <w:bidi w:val="0"/>
        <w:ind w:right="0"/>
        <w:jc w:val="left"/>
        <w:rPr>
          <w:sz w:val="22"/>
          <w:szCs w:val="22"/>
          <w:rtl w:val="0"/>
          <w:lang w:val="en-US"/>
        </w:rPr>
      </w:pPr>
      <w:r>
        <w:rPr>
          <w:b w:val="1"/>
          <w:bCs w:val="1"/>
          <w:sz w:val="24"/>
          <w:szCs w:val="24"/>
          <w:rtl w:val="0"/>
          <w:lang w:val="en-US"/>
        </w:rPr>
        <w:t>Reporting:</w:t>
      </w:r>
      <w:r>
        <w:rPr>
          <w:sz w:val="24"/>
          <w:szCs w:val="24"/>
          <w:rtl w:val="0"/>
          <w:lang w:val="en-US"/>
        </w:rPr>
        <w:t xml:space="preserve">  </w:t>
      </w:r>
      <w:r>
        <w:rPr>
          <w:sz w:val="24"/>
          <w:szCs w:val="24"/>
          <w:rtl w:val="0"/>
          <w:lang w:val="en-US"/>
        </w:rPr>
        <w:t xml:space="preserve">Posts/American Spaces are requested to report back to the Smithsonian the results of their exhibition/programs, using an evaluation form created by the </w:t>
      </w:r>
      <w:r>
        <w:rPr>
          <w:b w:val="1"/>
          <w:bCs w:val="1"/>
          <w:i w:val="1"/>
          <w:iCs w:val="1"/>
          <w:sz w:val="24"/>
          <w:szCs w:val="24"/>
          <w:rtl w:val="0"/>
          <w:lang w:val="en-US"/>
        </w:rPr>
        <w:t>Outbreak</w:t>
      </w:r>
      <w:r>
        <w:rPr>
          <w:sz w:val="24"/>
          <w:szCs w:val="24"/>
          <w:rtl w:val="0"/>
          <w:lang w:val="en-US"/>
        </w:rPr>
        <w:t xml:space="preserve"> curation team.</w:t>
      </w:r>
      <w:r>
        <w:rPr>
          <w:sz w:val="24"/>
          <w:szCs w:val="24"/>
          <w:rtl w:val="0"/>
          <w:lang w:val="en-US"/>
        </w:rPr>
        <w:t xml:space="preserve">  </w:t>
      </w:r>
      <w:r>
        <w:rPr>
          <w:sz w:val="24"/>
          <w:szCs w:val="24"/>
          <w:rtl w:val="0"/>
          <w:lang w:val="en-US"/>
        </w:rPr>
        <w:t>Please cc: the Office of American Spaces (</w:t>
      </w:r>
      <w:r>
        <w:rPr>
          <w:rStyle w:val="Hyperlink.1"/>
          <w:sz w:val="24"/>
          <w:szCs w:val="24"/>
        </w:rPr>
        <w:fldChar w:fldCharType="begin" w:fldLock="0"/>
      </w:r>
      <w:r>
        <w:rPr>
          <w:rStyle w:val="Hyperlink.1"/>
          <w:sz w:val="24"/>
          <w:szCs w:val="24"/>
        </w:rPr>
        <w:instrText xml:space="preserve"> HYPERLINK "mailto:americanspaces@state.gov"</w:instrText>
      </w:r>
      <w:r>
        <w:rPr>
          <w:rStyle w:val="Hyperlink.1"/>
          <w:sz w:val="24"/>
          <w:szCs w:val="24"/>
        </w:rPr>
        <w:fldChar w:fldCharType="separate" w:fldLock="0"/>
      </w:r>
      <w:r>
        <w:rPr>
          <w:rStyle w:val="Hyperlink.1"/>
          <w:sz w:val="24"/>
          <w:szCs w:val="24"/>
          <w:rtl w:val="0"/>
          <w:lang w:val="en-US"/>
        </w:rPr>
        <w:t>americanspaces@state.gov</w:t>
      </w:r>
      <w:r>
        <w:rPr>
          <w:sz w:val="22"/>
          <w:szCs w:val="22"/>
        </w:rPr>
        <w:fldChar w:fldCharType="end" w:fldLock="0"/>
      </w:r>
      <w:r>
        <w:rPr>
          <w:sz w:val="24"/>
          <w:szCs w:val="24"/>
          <w:rtl w:val="0"/>
          <w:lang w:val="en-US"/>
        </w:rPr>
        <w:t>) for our information</w:t>
      </w:r>
      <w:r>
        <w:rPr>
          <w:color w:val="1f497d"/>
          <w:sz w:val="24"/>
          <w:szCs w:val="24"/>
          <w:u w:color="1f497d"/>
          <w:rtl w:val="0"/>
          <w:lang w:val="en-US"/>
        </w:rPr>
        <w:t>.</w:t>
      </w:r>
    </w:p>
    <w:p>
      <w:pPr>
        <w:pStyle w:val="List Paragraph"/>
        <w:rPr>
          <w:sz w:val="8"/>
          <w:szCs w:val="8"/>
        </w:rPr>
      </w:pPr>
    </w:p>
    <w:p>
      <w:pPr>
        <w:pStyle w:val="List Paragraph"/>
        <w:numPr>
          <w:ilvl w:val="0"/>
          <w:numId w:val="2"/>
        </w:numPr>
        <w:rPr>
          <w:lang w:val="en-US"/>
        </w:rPr>
      </w:pPr>
      <w:r>
        <w:rPr>
          <w:b w:val="1"/>
          <w:bCs w:val="1"/>
          <w:rtl w:val="0"/>
          <w:lang w:val="en-US"/>
        </w:rPr>
        <w:t>Promotion:</w:t>
      </w:r>
      <w:r>
        <w:rPr>
          <w:rtl w:val="0"/>
          <w:lang w:val="en-US"/>
        </w:rPr>
        <w:t xml:space="preserve"> Marketing folder includes preapproved templates for promoting the exhibit.  Please use #Outbreak DIY and #Outbreak if posting on social media platforms.</w:t>
      </w:r>
    </w:p>
    <w:p>
      <w:pPr>
        <w:pStyle w:val="Body"/>
        <w:rPr>
          <w:sz w:val="24"/>
          <w:szCs w:val="24"/>
        </w:rPr>
      </w:pPr>
    </w:p>
    <w:p>
      <w:pPr>
        <w:pStyle w:val="Body"/>
        <w:rPr>
          <w:rFonts w:ascii="Times New Roman" w:cs="Times New Roman" w:hAnsi="Times New Roman" w:eastAsia="Times New Roman"/>
          <w:sz w:val="24"/>
          <w:szCs w:val="24"/>
        </w:rPr>
      </w:pPr>
      <w:r>
        <w:rPr>
          <w:rFonts w:ascii="Times New Roman" w:hAnsi="Times New Roman"/>
          <w:b w:val="1"/>
          <w:bCs w:val="1"/>
          <w:sz w:val="24"/>
          <w:szCs w:val="24"/>
          <w:u w:val="single"/>
          <w:rtl w:val="0"/>
          <w:lang w:val="en-US"/>
        </w:rPr>
        <w:t>The following documents may be accessed via the links below</w:t>
      </w:r>
      <w:r>
        <w:rPr>
          <w:rFonts w:ascii="Times New Roman" w:hAnsi="Times New Roman"/>
          <w:sz w:val="24"/>
          <w:szCs w:val="24"/>
          <w:rtl w:val="0"/>
        </w:rPr>
        <w:t>:</w:t>
      </w:r>
    </w:p>
    <w:p>
      <w:pPr>
        <w:pStyle w:val="List Paragraph"/>
        <w:numPr>
          <w:ilvl w:val="0"/>
          <w:numId w:val="5"/>
        </w:numPr>
        <w:rPr>
          <w:lang w:val="en-US"/>
        </w:rPr>
      </w:pPr>
      <w:r>
        <w:rPr>
          <w:rtl w:val="0"/>
          <w:lang w:val="en-US"/>
        </w:rPr>
        <w:t xml:space="preserve">Outbreak Informational Handout (2 pages): </w:t>
      </w:r>
      <w:r>
        <w:rPr>
          <w:rStyle w:val="Hyperlink.0"/>
        </w:rPr>
        <w:fldChar w:fldCharType="begin" w:fldLock="0"/>
      </w:r>
      <w:r>
        <w:rPr>
          <w:rStyle w:val="Hyperlink.0"/>
        </w:rPr>
        <w:instrText xml:space="preserve"> HYPERLINK "https://app.box.com/s/xrwfojf8s97ycqdfhy3aydp8iilzayqb"</w:instrText>
      </w:r>
      <w:r>
        <w:rPr>
          <w:rStyle w:val="Hyperlink.0"/>
        </w:rPr>
        <w:fldChar w:fldCharType="separate" w:fldLock="0"/>
      </w:r>
      <w:r>
        <w:rPr>
          <w:rStyle w:val="Hyperlink.0"/>
          <w:rtl w:val="0"/>
          <w:lang w:val="en-US"/>
        </w:rPr>
        <w:t>https://app.box.com/s/xrwfojf8s97ycqdfhy3aydp8iilzayqb</w:t>
      </w:r>
      <w:r>
        <w:rPr/>
        <w:fldChar w:fldCharType="end" w:fldLock="0"/>
      </w:r>
      <w:r>
        <w:rPr>
          <w:rtl w:val="0"/>
          <w:lang w:val="en-US"/>
        </w:rPr>
        <w:t xml:space="preserve"> </w:t>
      </w:r>
    </w:p>
    <w:p>
      <w:pPr>
        <w:pStyle w:val="List Paragraph"/>
        <w:numPr>
          <w:ilvl w:val="0"/>
          <w:numId w:val="5"/>
        </w:numPr>
        <w:rPr>
          <w:lang w:val="en-US"/>
        </w:rPr>
      </w:pPr>
      <w:r>
        <w:rPr>
          <w:rtl w:val="0"/>
          <w:lang w:val="en-US"/>
        </w:rPr>
        <w:t xml:space="preserve">Outbreak Do-It-Yourself User Application: </w:t>
      </w:r>
      <w:r>
        <w:rPr>
          <w:rStyle w:val="Hyperlink.0"/>
        </w:rPr>
        <w:fldChar w:fldCharType="begin" w:fldLock="0"/>
      </w:r>
      <w:r>
        <w:rPr>
          <w:rStyle w:val="Hyperlink.0"/>
        </w:rPr>
        <w:instrText xml:space="preserve"> HYPERLINK "https://app.box.com/s/ygsb0354ffgztpnnsenrt84bpq7brsqz"</w:instrText>
      </w:r>
      <w:r>
        <w:rPr>
          <w:rStyle w:val="Hyperlink.0"/>
        </w:rPr>
        <w:fldChar w:fldCharType="separate" w:fldLock="0"/>
      </w:r>
      <w:r>
        <w:rPr>
          <w:rStyle w:val="Hyperlink.0"/>
          <w:rtl w:val="0"/>
          <w:lang w:val="en-US"/>
        </w:rPr>
        <w:t>https://app.box.com/s/ygsb0354ffgztpnnsenrt84bpq7brsqz</w:t>
      </w:r>
      <w:r>
        <w:rPr/>
        <w:fldChar w:fldCharType="end" w:fldLock="0"/>
      </w:r>
      <w:r>
        <w:rPr>
          <w:rtl w:val="0"/>
          <w:lang w:val="en-US"/>
        </w:rPr>
        <w:t xml:space="preserve"> </w:t>
      </w:r>
    </w:p>
    <w:p>
      <w:pPr>
        <w:pStyle w:val="List Paragraph"/>
        <w:numPr>
          <w:ilvl w:val="0"/>
          <w:numId w:val="5"/>
        </w:numPr>
        <w:rPr>
          <w:lang w:val="en-US"/>
        </w:rPr>
      </w:pPr>
      <w:r>
        <w:rPr>
          <w:rtl w:val="0"/>
          <w:lang w:val="en-US"/>
        </w:rPr>
        <w:t xml:space="preserve">Outbreak Memorandum of Agreement and License Agreement: </w:t>
      </w:r>
      <w:r>
        <w:rPr>
          <w:rStyle w:val="Hyperlink.0"/>
        </w:rPr>
        <w:fldChar w:fldCharType="begin" w:fldLock="0"/>
      </w:r>
      <w:r>
        <w:rPr>
          <w:rStyle w:val="Hyperlink.0"/>
        </w:rPr>
        <w:instrText xml:space="preserve"> HYPERLINK "https://app.box.com/s/6jernrjm2fgbj6y1ucq0uwp58kj5i7i3"</w:instrText>
      </w:r>
      <w:r>
        <w:rPr>
          <w:rStyle w:val="Hyperlink.0"/>
        </w:rPr>
        <w:fldChar w:fldCharType="separate" w:fldLock="0"/>
      </w:r>
      <w:r>
        <w:rPr>
          <w:rStyle w:val="Hyperlink.0"/>
          <w:rtl w:val="0"/>
          <w:lang w:val="en-US"/>
        </w:rPr>
        <w:t>https://app.box.com/s/6jernrjm2fgbj6y1ucq0uwp58kj5i7i3</w:t>
      </w:r>
      <w:r>
        <w:rPr/>
        <w:fldChar w:fldCharType="end" w:fldLock="0"/>
      </w:r>
      <w:r>
        <w:rPr>
          <w:rtl w:val="0"/>
          <w:lang w:val="en-US"/>
        </w:rPr>
        <w:t xml:space="preserve"> </w:t>
      </w:r>
    </w:p>
    <w:p>
      <w:pPr>
        <w:pStyle w:val="List Paragraph"/>
        <w:numPr>
          <w:ilvl w:val="0"/>
          <w:numId w:val="5"/>
        </w:numPr>
        <w:rPr>
          <w:lang w:val="en-US"/>
        </w:rPr>
      </w:pPr>
      <w:r>
        <w:rPr>
          <w:rtl w:val="0"/>
          <w:lang w:val="en-US"/>
        </w:rPr>
        <w:t xml:space="preserve">DIY Sample Panels: </w:t>
      </w:r>
      <w:r>
        <w:rPr>
          <w:rStyle w:val="Hyperlink.0"/>
        </w:rPr>
        <w:fldChar w:fldCharType="begin" w:fldLock="0"/>
      </w:r>
      <w:r>
        <w:rPr>
          <w:rStyle w:val="Hyperlink.0"/>
        </w:rPr>
        <w:instrText xml:space="preserve"> HYPERLINK "https://app.box.com/s/gzxr6xhguqpgzf4lbdzt6oqjs0373b9v"</w:instrText>
      </w:r>
      <w:r>
        <w:rPr>
          <w:rStyle w:val="Hyperlink.0"/>
        </w:rPr>
        <w:fldChar w:fldCharType="separate" w:fldLock="0"/>
      </w:r>
      <w:r>
        <w:rPr>
          <w:rStyle w:val="Hyperlink.0"/>
          <w:rtl w:val="0"/>
          <w:lang w:val="en-US"/>
        </w:rPr>
        <w:t>https://app.box.com/s/gzxr6xhguqpgzf4lbdzt6oqjs0373b9v</w:t>
      </w:r>
      <w:r>
        <w:rPr/>
        <w:fldChar w:fldCharType="end" w:fldLock="0"/>
      </w:r>
      <w:r>
        <w:rPr>
          <w:rtl w:val="0"/>
          <w:lang w:val="en-US"/>
        </w:rPr>
        <w:t xml:space="preserve"> and </w:t>
      </w:r>
      <w:r>
        <w:rPr>
          <w:rStyle w:val="Hyperlink.0"/>
        </w:rPr>
        <w:fldChar w:fldCharType="begin" w:fldLock="0"/>
      </w:r>
      <w:r>
        <w:rPr>
          <w:rStyle w:val="Hyperlink.0"/>
        </w:rPr>
        <w:instrText xml:space="preserve"> HYPERLINK "https://app.box.com/s/x949n0t8hstszvuzedzp8asy44jvcksh"</w:instrText>
      </w:r>
      <w:r>
        <w:rPr>
          <w:rStyle w:val="Hyperlink.0"/>
        </w:rPr>
        <w:fldChar w:fldCharType="separate" w:fldLock="0"/>
      </w:r>
      <w:r>
        <w:rPr>
          <w:rStyle w:val="Hyperlink.0"/>
          <w:rtl w:val="0"/>
          <w:lang w:val="en-US"/>
        </w:rPr>
        <w:t>https://app.box.com/s/x949</w:t>
      </w:r>
      <w:r>
        <w:rPr>
          <w:rtl w:val="0"/>
          <w:lang w:val="en-US"/>
        </w:rPr>
        <w:t xml:space="preserve"> </w:t>
      </w:r>
      <w:r>
        <w:rPr>
          <w:rStyle w:val="Hyperlink.0"/>
          <w:rtl w:val="0"/>
          <w:lang w:val="en-US"/>
        </w:rPr>
        <w:t xml:space="preserve"> n0t8hstszvuzedzp8asy44jvcksh</w:t>
      </w:r>
      <w:r>
        <w:rPr/>
        <w:fldChar w:fldCharType="end" w:fldLock="0"/>
      </w:r>
      <w:r>
        <w:rPr>
          <w:rtl w:val="0"/>
          <w:lang w:val="en-US"/>
        </w:rPr>
        <w:t xml:space="preserve">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We hope posts and American Spaces will be able to take advantage of this great resource and opportunity. Please let us know if you have any questions at </w:t>
      </w:r>
      <w:r>
        <w:rPr>
          <w:rStyle w:val="Hyperlink.2"/>
        </w:rPr>
        <w:fldChar w:fldCharType="begin" w:fldLock="0"/>
      </w:r>
      <w:r>
        <w:rPr>
          <w:rStyle w:val="Hyperlink.2"/>
        </w:rPr>
        <w:instrText xml:space="preserve"> HYPERLINK "mailto:americanspaces@state.gov"</w:instrText>
      </w:r>
      <w:r>
        <w:rPr>
          <w:rStyle w:val="Hyperlink.2"/>
        </w:rPr>
        <w:fldChar w:fldCharType="separate" w:fldLock="0"/>
      </w:r>
      <w:r>
        <w:rPr>
          <w:rStyle w:val="Hyperlink.2"/>
          <w:rtl w:val="0"/>
          <w:lang w:val="en-US"/>
        </w:rPr>
        <w:t>americanspaces@state.gov</w:t>
      </w:r>
      <w:r>
        <w:rPr/>
        <w:fldChar w:fldCharType="end" w:fldLock="0"/>
      </w:r>
      <w:r>
        <w:rPr>
          <w:rFonts w:ascii="Times New Roman" w:hAnsi="Times New Roman"/>
          <w:sz w:val="24"/>
          <w:szCs w:val="24"/>
          <w:rtl w:val="0"/>
          <w:lang w:val="en-US"/>
        </w:rPr>
        <w:t xml:space="preserve">, and you can also contact the Smithsonian directly at </w:t>
      </w:r>
      <w:r>
        <w:rPr>
          <w:rStyle w:val="Hyperlink.2"/>
        </w:rPr>
        <w:fldChar w:fldCharType="begin" w:fldLock="0"/>
      </w:r>
      <w:r>
        <w:rPr>
          <w:rStyle w:val="Hyperlink.2"/>
        </w:rPr>
        <w:instrText xml:space="preserve"> HYPERLINK "mailto:NMNH-ExhibitsDIY@si.edu"</w:instrText>
      </w:r>
      <w:r>
        <w:rPr>
          <w:rStyle w:val="Hyperlink.2"/>
        </w:rPr>
        <w:fldChar w:fldCharType="separate" w:fldLock="0"/>
      </w:r>
      <w:r>
        <w:rPr>
          <w:rStyle w:val="Hyperlink.2"/>
          <w:rtl w:val="0"/>
          <w:lang w:val="en-US"/>
        </w:rPr>
        <w:t>NMNH-ExhibitsDIY@si.edu</w:t>
      </w:r>
      <w:r>
        <w:rPr/>
        <w:fldChar w:fldCharType="end" w:fldLock="0"/>
      </w:r>
      <w:r>
        <w:rPr>
          <w:rFonts w:ascii="Times New Roman" w:hAnsi="Times New Roman"/>
          <w:sz w:val="24"/>
          <w:szCs w:val="24"/>
          <w:rtl w:val="0"/>
        </w:rPr>
        <w:t xml:space="preserve">. </w:t>
      </w:r>
    </w:p>
    <w:p>
      <w:pPr>
        <w:pStyle w:val="Body"/>
        <w:spacing w:after="0" w:line="240" w:lineRule="auto"/>
      </w:pPr>
      <w:r/>
    </w:p>
    <w:sectPr>
      <w:headerReference w:type="default" r:id="rId9"/>
      <w:footerReference w:type="default" r:id="rId10"/>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fldChar w:fldCharType="begin" w:fldLock="0"/>
    </w:r>
    <w:r>
      <w:instrText xml:space="preserve"> PAGE </w:instrText>
    </w:r>
    <w:r>
      <w:rPr/>
      <w:fldChar w:fldCharType="separate" w:fldLock="0"/>
    </w:r>
    <w:r>
      <w:t>2</w:t>
    </w:r>
    <w:r>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fldChar w:fldCharType="begin" w:fldLock="0"/>
    </w:r>
    <w:r>
      <w:instrText xml:space="preserve"> PAGE </w:instrText>
    </w:r>
    <w:r>
      <w:rPr/>
      <w:fldChar w:fldCharType="separate" w:fldLock="0"/>
    </w:r>
    <w:r>
      <w:t>4</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right"/>
    </w:pPr>
    <w:r>
      <mc:AlternateContent>
        <mc:Choice Requires="wpg">
          <w:drawing>
            <wp:anchor distT="152400" distB="152400" distL="152400" distR="152400" simplePos="0" relativeHeight="251658240" behindDoc="1" locked="0" layoutInCell="1" allowOverlap="1">
              <wp:simplePos x="0" y="0"/>
              <wp:positionH relativeFrom="page">
                <wp:posOffset>6429375</wp:posOffset>
              </wp:positionH>
              <wp:positionV relativeFrom="page">
                <wp:posOffset>9018270</wp:posOffset>
              </wp:positionV>
              <wp:extent cx="1076325" cy="1190625"/>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076325" cy="1190625"/>
                        <a:chOff x="0" y="0"/>
                        <a:chExt cx="1076325" cy="1190625"/>
                      </a:xfrm>
                    </wpg:grpSpPr>
                    <wps:wsp>
                      <wps:cNvPr id="1073741825" name="Shape 1073741825"/>
                      <wps:cNvSpPr/>
                      <wps:spPr>
                        <a:xfrm>
                          <a:off x="0" y="0"/>
                          <a:ext cx="1076325" cy="1190625"/>
                        </a:xfrm>
                        <a:prstGeom prst="rect">
                          <a:avLst/>
                        </a:prstGeom>
                        <a:solidFill>
                          <a:srgbClr val="FFFFFF"/>
                        </a:solidFill>
                        <a:ln w="9525" cap="flat">
                          <a:solidFill>
                            <a:srgbClr val="FFFFFF"/>
                          </a:solidFill>
                          <a:prstDash val="solid"/>
                          <a:miter lim="800000"/>
                        </a:ln>
                        <a:effectLst/>
                      </wps:spPr>
                      <wps:bodyPr/>
                    </wps:wsp>
                    <wps:wsp>
                      <wps:cNvPr id="1073741826" name="Shape 1073741826"/>
                      <wps:cNvSpPr/>
                      <wps:spPr>
                        <a:xfrm>
                          <a:off x="0" y="0"/>
                          <a:ext cx="1076325" cy="1190625"/>
                        </a:xfrm>
                        <a:prstGeom prst="rect">
                          <a:avLst/>
                        </a:prstGeom>
                        <a:noFill/>
                        <a:ln w="12700" cap="flat">
                          <a:noFill/>
                          <a:miter lim="400000"/>
                        </a:ln>
                        <a:effectLst/>
                      </wps:spPr>
                      <wps:bodyPr/>
                    </wps:wsp>
                  </wpg:wgp>
                </a:graphicData>
              </a:graphic>
            </wp:anchor>
          </w:drawing>
        </mc:Choice>
        <mc:Fallback>
          <w:pict>
            <v:group id="_x0000_s1029" style="visibility:visible;position:absolute;margin-left:506.2pt;margin-top:710.1pt;width:84.8pt;height:93.8pt;z-index:-251658240;mso-position-horizontal:absolute;mso-position-horizontal-relative:page;mso-position-vertical:absolute;mso-position-vertical-relative:page;mso-wrap-distance-left:12.0pt;mso-wrap-distance-top:12.0pt;mso-wrap-distance-right:12.0pt;mso-wrap-distance-bottom:12.0pt;" coordorigin="0,0" coordsize="1076325,1190625">
              <w10:wrap type="none" side="bothSides" anchorx="page" anchory="page"/>
              <v:rect id="_x0000_s1030" style="position:absolute;left:0;top:0;width:1076325;height:1190625;">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rect>
              <v:rect id="_x0000_s1031" style="position:absolute;left:0;top:0;width:1076325;height:1190625;">
                <v:fill on="f"/>
                <v:stroke on="f" weight="1.0pt" dashstyle="solid" endcap="flat" miterlimit="400.0%" joinstyle="miter" linestyle="single" startarrow="none" startarrowwidth="medium" startarrowlength="medium" endarrow="none" endarrowwidth="medium" endarrowlength="medium"/>
              </v:rect>
            </v:group>
          </w:pict>
        </mc:Fallback>
      </mc:AlternateContent>
    </w:r>
    <w:r>
      <w:tab/>
      <w:tab/>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right"/>
    </w:pPr>
    <w: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1"/>
      </w:numPr>
    </w:pPr>
  </w:style>
  <w:style w:type="character" w:styleId="Hyperlink.0">
    <w:name w:val="Hyperlink.0"/>
    <w:basedOn w:val="Hyperlink"/>
    <w:next w:val="Hyperlink.0"/>
    <w:rPr>
      <w:color w:val="0563c1"/>
      <w:u w:val="single" w:color="0563c1"/>
    </w:rPr>
  </w:style>
  <w:style w:type="character" w:styleId="Hyperlink.1">
    <w:name w:val="Hyperlink.1"/>
    <w:basedOn w:val="Hyperlink.0"/>
    <w:next w:val="Hyperlink.1"/>
    <w:rPr>
      <w:sz w:val="24"/>
      <w:szCs w:val="24"/>
    </w:rPr>
  </w:style>
  <w:style w:type="numbering" w:styleId="Imported Style 3">
    <w:name w:val="Imported Style 3"/>
    <w:pPr>
      <w:numPr>
        <w:numId w:val="4"/>
      </w:numPr>
    </w:pPr>
  </w:style>
  <w:style w:type="character" w:styleId="Hyperlink.2">
    <w:name w:val="Hyperlink.2"/>
    <w:basedOn w:val="Hyperlink.0"/>
    <w:next w:val="Hyperlink.2"/>
    <w:rPr>
      <w:rFonts w:ascii="Times New Roman" w:cs="Times New Roman" w:hAnsi="Times New Roman" w:eastAsia="Times New Roman"/>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